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13" w:rsidRPr="00A02B29" w:rsidRDefault="00A76B13" w:rsidP="00A76B13">
      <w:pPr>
        <w:jc w:val="center"/>
        <w:rPr>
          <w:b/>
          <w:sz w:val="24"/>
          <w:szCs w:val="24"/>
        </w:rPr>
      </w:pPr>
      <w:r w:rsidRPr="00A02B29">
        <w:rPr>
          <w:b/>
          <w:sz w:val="24"/>
          <w:szCs w:val="24"/>
        </w:rPr>
        <w:t>Insurance issues for hosting schemes</w:t>
      </w:r>
      <w:bookmarkStart w:id="0" w:name="_GoBack"/>
      <w:bookmarkEnd w:id="0"/>
    </w:p>
    <w:p w:rsidR="00A76B13" w:rsidRPr="00A02B29" w:rsidRDefault="00A76B13">
      <w:pPr>
        <w:rPr>
          <w:sz w:val="24"/>
          <w:szCs w:val="24"/>
        </w:rPr>
      </w:pPr>
      <w:r w:rsidRPr="00A02B29">
        <w:rPr>
          <w:sz w:val="24"/>
          <w:szCs w:val="24"/>
        </w:rPr>
        <w:t>I have pulled together feedback fr</w:t>
      </w:r>
      <w:r w:rsidR="00B80A6F">
        <w:rPr>
          <w:sz w:val="24"/>
          <w:szCs w:val="24"/>
        </w:rPr>
        <w:t>o</w:t>
      </w:r>
      <w:r w:rsidRPr="00A02B29">
        <w:rPr>
          <w:sz w:val="24"/>
          <w:szCs w:val="24"/>
        </w:rPr>
        <w:t xml:space="preserve">m a variety of schemes relating to insurance issues for hosting schemes. </w:t>
      </w:r>
      <w:r w:rsidR="00F64D1C">
        <w:rPr>
          <w:sz w:val="24"/>
          <w:szCs w:val="24"/>
        </w:rPr>
        <w:t xml:space="preserve">Thanks to all the schemes that have helped provide the information below. </w:t>
      </w:r>
      <w:r w:rsidRPr="00A02B29">
        <w:rPr>
          <w:sz w:val="24"/>
          <w:szCs w:val="24"/>
        </w:rPr>
        <w:t>There are two issues</w:t>
      </w:r>
      <w:r w:rsidR="00B80A6F">
        <w:rPr>
          <w:sz w:val="24"/>
          <w:szCs w:val="24"/>
        </w:rPr>
        <w:t xml:space="preserve"> for insurance</w:t>
      </w:r>
      <w:r w:rsidRPr="00A02B29">
        <w:rPr>
          <w:sz w:val="24"/>
          <w:szCs w:val="24"/>
        </w:rPr>
        <w:t>;</w:t>
      </w:r>
    </w:p>
    <w:p w:rsidR="00A76B13" w:rsidRPr="00A02B29" w:rsidRDefault="00A76B13" w:rsidP="00385070">
      <w:pPr>
        <w:pStyle w:val="ListParagraph"/>
        <w:numPr>
          <w:ilvl w:val="0"/>
          <w:numId w:val="1"/>
        </w:numPr>
        <w:ind w:left="360"/>
        <w:rPr>
          <w:b/>
          <w:sz w:val="24"/>
          <w:szCs w:val="24"/>
        </w:rPr>
      </w:pPr>
      <w:r w:rsidRPr="00A02B29">
        <w:rPr>
          <w:b/>
          <w:sz w:val="24"/>
          <w:szCs w:val="24"/>
        </w:rPr>
        <w:t xml:space="preserve">Public liability insurance taken out by the hosting scheme </w:t>
      </w:r>
    </w:p>
    <w:p w:rsidR="00A02B29" w:rsidRPr="00385070" w:rsidRDefault="00A02B29" w:rsidP="00B80A6F">
      <w:pPr>
        <w:rPr>
          <w:sz w:val="24"/>
          <w:szCs w:val="24"/>
        </w:rPr>
      </w:pPr>
      <w:r w:rsidRPr="00385070">
        <w:rPr>
          <w:sz w:val="24"/>
          <w:szCs w:val="24"/>
        </w:rPr>
        <w:t>Not all insurers will cover hosting explicitly in their public liabilities insurance. Companies that do cover hosting are:</w:t>
      </w:r>
    </w:p>
    <w:p w:rsidR="00A02B29" w:rsidRPr="00385070" w:rsidRDefault="00A02B29" w:rsidP="00B80A6F">
      <w:pPr>
        <w:pStyle w:val="ListParagraph"/>
        <w:numPr>
          <w:ilvl w:val="0"/>
          <w:numId w:val="4"/>
        </w:numPr>
        <w:ind w:left="360"/>
        <w:rPr>
          <w:sz w:val="24"/>
          <w:szCs w:val="24"/>
        </w:rPr>
      </w:pPr>
      <w:r w:rsidRPr="00385070">
        <w:rPr>
          <w:sz w:val="24"/>
          <w:szCs w:val="24"/>
        </w:rPr>
        <w:t>Case</w:t>
      </w:r>
    </w:p>
    <w:p w:rsidR="00A02B29" w:rsidRPr="00385070" w:rsidRDefault="00A02B29" w:rsidP="00B80A6F">
      <w:pPr>
        <w:pStyle w:val="ListParagraph"/>
        <w:numPr>
          <w:ilvl w:val="0"/>
          <w:numId w:val="4"/>
        </w:numPr>
        <w:ind w:left="360"/>
        <w:rPr>
          <w:sz w:val="24"/>
          <w:szCs w:val="24"/>
        </w:rPr>
      </w:pPr>
      <w:r w:rsidRPr="00385070">
        <w:rPr>
          <w:sz w:val="24"/>
          <w:szCs w:val="24"/>
        </w:rPr>
        <w:t>Markel</w:t>
      </w:r>
    </w:p>
    <w:p w:rsidR="00A02B29" w:rsidRPr="00385070" w:rsidRDefault="00A02B29" w:rsidP="00B80A6F">
      <w:pPr>
        <w:pStyle w:val="ListParagraph"/>
        <w:numPr>
          <w:ilvl w:val="0"/>
          <w:numId w:val="4"/>
        </w:numPr>
        <w:ind w:left="360"/>
        <w:rPr>
          <w:sz w:val="24"/>
          <w:szCs w:val="24"/>
        </w:rPr>
      </w:pPr>
      <w:r w:rsidRPr="00385070">
        <w:rPr>
          <w:color w:val="000000"/>
          <w:sz w:val="24"/>
          <w:szCs w:val="24"/>
        </w:rPr>
        <w:t>Ecclesiastical</w:t>
      </w:r>
      <w:r w:rsidRPr="00385070">
        <w:rPr>
          <w:rFonts w:eastAsia="Times New Roman"/>
          <w:color w:val="000000"/>
          <w:sz w:val="24"/>
          <w:szCs w:val="24"/>
          <w:lang w:eastAsia="en-GB"/>
        </w:rPr>
        <w:t xml:space="preserve"> ( who is the parent company of </w:t>
      </w:r>
      <w:proofErr w:type="spellStart"/>
      <w:r w:rsidRPr="00385070">
        <w:rPr>
          <w:rFonts w:eastAsia="Times New Roman"/>
          <w:color w:val="000000"/>
          <w:sz w:val="24"/>
          <w:szCs w:val="24"/>
          <w:lang w:eastAsia="en-GB"/>
        </w:rPr>
        <w:t>Ansvar</w:t>
      </w:r>
      <w:proofErr w:type="spellEnd"/>
      <w:r w:rsidRPr="00385070">
        <w:rPr>
          <w:rFonts w:eastAsia="Times New Roman"/>
          <w:color w:val="000000"/>
          <w:sz w:val="24"/>
          <w:szCs w:val="24"/>
          <w:lang w:eastAsia="en-GB"/>
        </w:rPr>
        <w:t xml:space="preserve">) </w:t>
      </w:r>
    </w:p>
    <w:p w:rsidR="00A02B29" w:rsidRPr="00385070" w:rsidRDefault="00A02B29" w:rsidP="00A02B29">
      <w:pPr>
        <w:rPr>
          <w:sz w:val="24"/>
          <w:szCs w:val="24"/>
        </w:rPr>
      </w:pPr>
      <w:r w:rsidRPr="00385070">
        <w:rPr>
          <w:sz w:val="24"/>
          <w:szCs w:val="24"/>
        </w:rPr>
        <w:t>However these insurance companies are not necessarily straight forward with their cover!</w:t>
      </w:r>
    </w:p>
    <w:p w:rsidR="00D33FBD" w:rsidRPr="00D33FBD" w:rsidRDefault="004B7A44" w:rsidP="00B80A6F">
      <w:pPr>
        <w:pStyle w:val="ListParagraph"/>
        <w:numPr>
          <w:ilvl w:val="0"/>
          <w:numId w:val="4"/>
        </w:numPr>
        <w:ind w:left="340"/>
        <w:rPr>
          <w:sz w:val="24"/>
          <w:szCs w:val="24"/>
        </w:rPr>
      </w:pPr>
      <w:r w:rsidRPr="00D33FBD">
        <w:rPr>
          <w:b/>
          <w:sz w:val="24"/>
          <w:szCs w:val="24"/>
        </w:rPr>
        <w:t xml:space="preserve">Case </w:t>
      </w:r>
      <w:r w:rsidR="00385070" w:rsidRPr="00D33FBD">
        <w:rPr>
          <w:sz w:val="24"/>
          <w:szCs w:val="24"/>
        </w:rPr>
        <w:t xml:space="preserve">has stipulated with Action Foundation that </w:t>
      </w:r>
      <w:r w:rsidR="005351B3" w:rsidRPr="00D33FBD">
        <w:rPr>
          <w:sz w:val="24"/>
          <w:szCs w:val="24"/>
        </w:rPr>
        <w:t>‘Host</w:t>
      </w:r>
      <w:r w:rsidR="005351B3" w:rsidRPr="00D33FBD">
        <w:rPr>
          <w:rFonts w:ascii="Calibri" w:hAnsi="Calibri"/>
          <w:sz w:val="24"/>
          <w:szCs w:val="24"/>
        </w:rPr>
        <w:t xml:space="preserve"> households will have a separate home insurance in place covering both property and legal liabilities which expressly agree to all hosting </w:t>
      </w:r>
      <w:r w:rsidR="00D33FBD" w:rsidRPr="00D33FBD">
        <w:rPr>
          <w:rFonts w:ascii="Calibri" w:hAnsi="Calibri"/>
          <w:sz w:val="24"/>
          <w:szCs w:val="24"/>
        </w:rPr>
        <w:t xml:space="preserve">activities’ </w:t>
      </w:r>
      <w:r w:rsidR="00D33FBD">
        <w:rPr>
          <w:rFonts w:ascii="Calibri" w:hAnsi="Calibri"/>
          <w:sz w:val="24"/>
          <w:szCs w:val="24"/>
        </w:rPr>
        <w:t>and that we have a written record for this.</w:t>
      </w:r>
    </w:p>
    <w:p w:rsidR="00D33FBD" w:rsidRDefault="00385070" w:rsidP="00B80A6F">
      <w:pPr>
        <w:pStyle w:val="ListParagraph"/>
        <w:numPr>
          <w:ilvl w:val="0"/>
          <w:numId w:val="4"/>
        </w:numPr>
        <w:ind w:left="340"/>
        <w:rPr>
          <w:sz w:val="24"/>
          <w:szCs w:val="24"/>
        </w:rPr>
      </w:pPr>
      <w:r w:rsidRPr="00D33FBD">
        <w:rPr>
          <w:sz w:val="24"/>
          <w:szCs w:val="24"/>
        </w:rPr>
        <w:t xml:space="preserve">The best thing is to work through a broker to try and sort </w:t>
      </w:r>
      <w:r w:rsidR="005351B3" w:rsidRPr="00D33FBD">
        <w:rPr>
          <w:sz w:val="24"/>
          <w:szCs w:val="24"/>
        </w:rPr>
        <w:t xml:space="preserve">public liabilities insurance out </w:t>
      </w:r>
      <w:r w:rsidRPr="00D33FBD">
        <w:rPr>
          <w:sz w:val="24"/>
          <w:szCs w:val="24"/>
        </w:rPr>
        <w:t xml:space="preserve">based on </w:t>
      </w:r>
      <w:r w:rsidR="005351B3" w:rsidRPr="00D33FBD">
        <w:rPr>
          <w:sz w:val="24"/>
          <w:szCs w:val="24"/>
        </w:rPr>
        <w:t xml:space="preserve">the </w:t>
      </w:r>
      <w:r w:rsidRPr="00D33FBD">
        <w:rPr>
          <w:sz w:val="24"/>
          <w:szCs w:val="24"/>
        </w:rPr>
        <w:t>need</w:t>
      </w:r>
      <w:r w:rsidR="00B80A6F" w:rsidRPr="00D33FBD">
        <w:rPr>
          <w:sz w:val="24"/>
          <w:szCs w:val="24"/>
        </w:rPr>
        <w:t>s</w:t>
      </w:r>
      <w:r w:rsidR="005351B3" w:rsidRPr="00D33FBD">
        <w:rPr>
          <w:sz w:val="24"/>
          <w:szCs w:val="24"/>
        </w:rPr>
        <w:t xml:space="preserve"> of the scheme</w:t>
      </w:r>
      <w:r w:rsidRPr="00D33FBD">
        <w:rPr>
          <w:sz w:val="24"/>
          <w:szCs w:val="24"/>
        </w:rPr>
        <w:t>. A number of NACCOM members use</w:t>
      </w:r>
      <w:r w:rsidR="00B80A6F" w:rsidRPr="00D33FBD">
        <w:rPr>
          <w:sz w:val="24"/>
          <w:szCs w:val="24"/>
        </w:rPr>
        <w:t>:</w:t>
      </w:r>
      <w:r w:rsidRPr="00D33FBD">
        <w:rPr>
          <w:sz w:val="24"/>
          <w:szCs w:val="24"/>
        </w:rPr>
        <w:t xml:space="preserve"> </w:t>
      </w:r>
    </w:p>
    <w:p w:rsidR="00D33FBD" w:rsidRDefault="00A02B29" w:rsidP="00D33FBD">
      <w:pPr>
        <w:pStyle w:val="ListParagraph"/>
        <w:numPr>
          <w:ilvl w:val="1"/>
          <w:numId w:val="4"/>
        </w:numPr>
        <w:rPr>
          <w:sz w:val="24"/>
          <w:szCs w:val="24"/>
        </w:rPr>
      </w:pPr>
      <w:r w:rsidRPr="00D33FBD">
        <w:rPr>
          <w:sz w:val="24"/>
          <w:szCs w:val="24"/>
        </w:rPr>
        <w:t>B Wilson of Stockport</w:t>
      </w:r>
      <w:r w:rsidR="00385070" w:rsidRPr="00D33FBD">
        <w:rPr>
          <w:sz w:val="24"/>
          <w:szCs w:val="24"/>
        </w:rPr>
        <w:t>,</w:t>
      </w:r>
      <w:r w:rsidRPr="00D33FBD">
        <w:rPr>
          <w:sz w:val="24"/>
          <w:szCs w:val="24"/>
        </w:rPr>
        <w:t xml:space="preserve"> Andy</w:t>
      </w:r>
      <w:r w:rsidR="00B80A6F" w:rsidRPr="00D33FBD">
        <w:rPr>
          <w:sz w:val="24"/>
          <w:szCs w:val="24"/>
        </w:rPr>
        <w:t xml:space="preserve"> Guy</w:t>
      </w:r>
      <w:r w:rsidRPr="00D33FBD">
        <w:rPr>
          <w:sz w:val="24"/>
          <w:szCs w:val="24"/>
        </w:rPr>
        <w:t xml:space="preserve"> </w:t>
      </w:r>
      <w:hyperlink r:id="rId5" w:tgtFrame="_blank" w:history="1">
        <w:r w:rsidRPr="00D33FBD">
          <w:rPr>
            <w:rStyle w:val="Hyperlink"/>
            <w:sz w:val="24"/>
            <w:szCs w:val="24"/>
          </w:rPr>
          <w:t>andy.guy@wbwilson.co.uk</w:t>
        </w:r>
      </w:hyperlink>
      <w:r w:rsidR="00385070" w:rsidRPr="00D33FBD">
        <w:rPr>
          <w:sz w:val="24"/>
          <w:szCs w:val="24"/>
        </w:rPr>
        <w:t xml:space="preserve"> </w:t>
      </w:r>
    </w:p>
    <w:p w:rsidR="00A02B29" w:rsidRPr="00D33FBD" w:rsidRDefault="00385070" w:rsidP="00D33FBD">
      <w:pPr>
        <w:pStyle w:val="ListParagraph"/>
        <w:numPr>
          <w:ilvl w:val="1"/>
          <w:numId w:val="4"/>
        </w:numPr>
        <w:rPr>
          <w:sz w:val="24"/>
          <w:szCs w:val="24"/>
        </w:rPr>
      </w:pPr>
      <w:proofErr w:type="spellStart"/>
      <w:r w:rsidRPr="00D33FBD">
        <w:rPr>
          <w:sz w:val="24"/>
          <w:szCs w:val="24"/>
        </w:rPr>
        <w:t>tel</w:t>
      </w:r>
      <w:proofErr w:type="spellEnd"/>
      <w:r w:rsidRPr="00D33FBD">
        <w:rPr>
          <w:sz w:val="24"/>
          <w:szCs w:val="24"/>
        </w:rPr>
        <w:t xml:space="preserve"> </w:t>
      </w:r>
      <w:r w:rsidR="00A02B29" w:rsidRPr="00D33FBD">
        <w:rPr>
          <w:sz w:val="24"/>
          <w:szCs w:val="24"/>
        </w:rPr>
        <w:t>0161 432 4812 / 0161 432 2407 </w:t>
      </w:r>
    </w:p>
    <w:p w:rsidR="00F64D1C" w:rsidRPr="00F64D1C" w:rsidRDefault="00F64D1C" w:rsidP="00B80A6F">
      <w:pPr>
        <w:pStyle w:val="ListParagraph"/>
        <w:numPr>
          <w:ilvl w:val="0"/>
          <w:numId w:val="4"/>
        </w:numPr>
        <w:ind w:left="340"/>
        <w:rPr>
          <w:sz w:val="24"/>
          <w:szCs w:val="24"/>
        </w:rPr>
      </w:pPr>
      <w:r>
        <w:rPr>
          <w:color w:val="000000"/>
          <w:sz w:val="24"/>
          <w:szCs w:val="24"/>
        </w:rPr>
        <w:t xml:space="preserve">Other suggested </w:t>
      </w:r>
      <w:r w:rsidR="00385070" w:rsidRPr="00385070">
        <w:rPr>
          <w:color w:val="000000"/>
          <w:sz w:val="24"/>
          <w:szCs w:val="24"/>
        </w:rPr>
        <w:t>broker</w:t>
      </w:r>
      <w:r>
        <w:rPr>
          <w:color w:val="000000"/>
          <w:sz w:val="24"/>
          <w:szCs w:val="24"/>
        </w:rPr>
        <w:t>s are:</w:t>
      </w:r>
      <w:r w:rsidR="00385070" w:rsidRPr="00385070">
        <w:rPr>
          <w:color w:val="000000"/>
          <w:sz w:val="24"/>
          <w:szCs w:val="24"/>
        </w:rPr>
        <w:t xml:space="preserve"> </w:t>
      </w:r>
    </w:p>
    <w:p w:rsidR="00A02B29" w:rsidRDefault="00A02B29" w:rsidP="00F64D1C">
      <w:pPr>
        <w:pStyle w:val="ListParagraph"/>
        <w:numPr>
          <w:ilvl w:val="1"/>
          <w:numId w:val="4"/>
        </w:numPr>
        <w:rPr>
          <w:sz w:val="24"/>
          <w:szCs w:val="24"/>
        </w:rPr>
      </w:pPr>
      <w:r w:rsidRPr="00385070">
        <w:rPr>
          <w:color w:val="000000"/>
          <w:sz w:val="24"/>
          <w:szCs w:val="24"/>
        </w:rPr>
        <w:t xml:space="preserve">Phil </w:t>
      </w:r>
      <w:proofErr w:type="spellStart"/>
      <w:r w:rsidRPr="00385070">
        <w:rPr>
          <w:color w:val="000000"/>
          <w:sz w:val="24"/>
          <w:szCs w:val="24"/>
        </w:rPr>
        <w:t>Alcock</w:t>
      </w:r>
      <w:proofErr w:type="spellEnd"/>
      <w:r w:rsidRPr="00385070">
        <w:rPr>
          <w:color w:val="000000"/>
          <w:sz w:val="24"/>
          <w:szCs w:val="24"/>
        </w:rPr>
        <w:t xml:space="preserve"> at Rawlins in Stoke </w:t>
      </w:r>
      <w:hyperlink r:id="rId6" w:history="1">
        <w:r w:rsidR="00F64D1C" w:rsidRPr="009C579E">
          <w:rPr>
            <w:rStyle w:val="Hyperlink"/>
            <w:sz w:val="24"/>
            <w:szCs w:val="24"/>
          </w:rPr>
          <w:t>www.rawlinsinsurance.co.uk</w:t>
        </w:r>
      </w:hyperlink>
    </w:p>
    <w:p w:rsidR="00F64D1C" w:rsidRDefault="00B11955" w:rsidP="00F64D1C">
      <w:pPr>
        <w:pStyle w:val="ListParagraph"/>
        <w:numPr>
          <w:ilvl w:val="1"/>
          <w:numId w:val="4"/>
        </w:numPr>
        <w:rPr>
          <w:rFonts w:ascii="Calibri" w:hAnsi="Calibri"/>
          <w:sz w:val="24"/>
          <w:szCs w:val="24"/>
        </w:rPr>
      </w:pPr>
      <w:hyperlink r:id="rId7" w:history="1">
        <w:r w:rsidR="005351B3" w:rsidRPr="009C579E">
          <w:rPr>
            <w:rStyle w:val="Hyperlink"/>
            <w:rFonts w:ascii="Calibri" w:hAnsi="Calibri"/>
            <w:sz w:val="24"/>
            <w:szCs w:val="24"/>
          </w:rPr>
          <w:t>www.aqmen.ltd.uk</w:t>
        </w:r>
      </w:hyperlink>
    </w:p>
    <w:p w:rsidR="005351B3" w:rsidRPr="005351B3" w:rsidRDefault="005351B3" w:rsidP="005351B3">
      <w:pPr>
        <w:rPr>
          <w:b/>
          <w:sz w:val="24"/>
          <w:szCs w:val="24"/>
        </w:rPr>
      </w:pPr>
    </w:p>
    <w:p w:rsidR="00A76B13" w:rsidRPr="00385070" w:rsidRDefault="00A76B13" w:rsidP="00B80A6F">
      <w:pPr>
        <w:pStyle w:val="ListParagraph"/>
        <w:numPr>
          <w:ilvl w:val="0"/>
          <w:numId w:val="1"/>
        </w:numPr>
        <w:ind w:left="360"/>
        <w:rPr>
          <w:b/>
          <w:sz w:val="24"/>
          <w:szCs w:val="24"/>
        </w:rPr>
      </w:pPr>
      <w:r w:rsidRPr="00385070">
        <w:rPr>
          <w:b/>
          <w:sz w:val="24"/>
          <w:szCs w:val="24"/>
        </w:rPr>
        <w:t xml:space="preserve">House </w:t>
      </w:r>
      <w:r w:rsidR="003F4AEC" w:rsidRPr="00385070">
        <w:rPr>
          <w:b/>
          <w:sz w:val="24"/>
          <w:szCs w:val="24"/>
        </w:rPr>
        <w:t>insurance</w:t>
      </w:r>
      <w:r w:rsidRPr="00385070">
        <w:rPr>
          <w:b/>
          <w:sz w:val="24"/>
          <w:szCs w:val="24"/>
        </w:rPr>
        <w:t xml:space="preserve"> taken out by the host</w:t>
      </w:r>
    </w:p>
    <w:p w:rsidR="00B80A6F" w:rsidRPr="00B80A6F" w:rsidRDefault="00B80A6F" w:rsidP="00B80A6F">
      <w:pPr>
        <w:rPr>
          <w:sz w:val="24"/>
          <w:szCs w:val="24"/>
        </w:rPr>
      </w:pPr>
      <w:r w:rsidRPr="00B80A6F">
        <w:rPr>
          <w:sz w:val="24"/>
          <w:szCs w:val="24"/>
        </w:rPr>
        <w:t xml:space="preserve">Hosting a guest should not have any implications on someone’s house insurance. It is legally the same as if a family member or friend has come to visit. However, hosts need to check the details of their existing household policy. </w:t>
      </w:r>
    </w:p>
    <w:p w:rsidR="00B80A6F" w:rsidRDefault="00B80A6F" w:rsidP="00B80A6F">
      <w:pPr>
        <w:pStyle w:val="ListParagraph"/>
        <w:numPr>
          <w:ilvl w:val="0"/>
          <w:numId w:val="6"/>
        </w:numPr>
        <w:rPr>
          <w:sz w:val="24"/>
          <w:szCs w:val="24"/>
        </w:rPr>
      </w:pPr>
      <w:r>
        <w:rPr>
          <w:sz w:val="24"/>
          <w:szCs w:val="24"/>
        </w:rPr>
        <w:t>Hosts should check that putting up a guest in their home, free of charge, is in line with the initial proposal details (statement of facts). It should say if non- family members or lodgers or non-paying guests are able to stay.</w:t>
      </w:r>
    </w:p>
    <w:p w:rsidR="00B80A6F" w:rsidRDefault="00B80A6F" w:rsidP="00B80A6F">
      <w:pPr>
        <w:pStyle w:val="ListParagraph"/>
        <w:numPr>
          <w:ilvl w:val="0"/>
          <w:numId w:val="6"/>
        </w:numPr>
        <w:rPr>
          <w:sz w:val="24"/>
          <w:szCs w:val="24"/>
        </w:rPr>
      </w:pPr>
      <w:r>
        <w:rPr>
          <w:sz w:val="24"/>
          <w:szCs w:val="24"/>
        </w:rPr>
        <w:t xml:space="preserve">If hosts discuss with </w:t>
      </w:r>
      <w:r w:rsidR="00F64D1C">
        <w:rPr>
          <w:sz w:val="24"/>
          <w:szCs w:val="24"/>
        </w:rPr>
        <w:t xml:space="preserve">their </w:t>
      </w:r>
      <w:r>
        <w:rPr>
          <w:sz w:val="24"/>
          <w:szCs w:val="24"/>
        </w:rPr>
        <w:t xml:space="preserve">insurance company it should be made clear that no payments are being made, that </w:t>
      </w:r>
      <w:r w:rsidR="00F64D1C">
        <w:rPr>
          <w:sz w:val="24"/>
          <w:szCs w:val="24"/>
        </w:rPr>
        <w:t xml:space="preserve">it </w:t>
      </w:r>
      <w:r>
        <w:rPr>
          <w:sz w:val="24"/>
          <w:szCs w:val="24"/>
        </w:rPr>
        <w:t>is not a form of business, and guests are staying for short defined time.</w:t>
      </w:r>
    </w:p>
    <w:p w:rsidR="00B80A6F" w:rsidRDefault="00B80A6F" w:rsidP="00B80A6F">
      <w:pPr>
        <w:pStyle w:val="ListParagraph"/>
        <w:numPr>
          <w:ilvl w:val="0"/>
          <w:numId w:val="6"/>
        </w:numPr>
        <w:rPr>
          <w:sz w:val="24"/>
          <w:szCs w:val="24"/>
        </w:rPr>
      </w:pPr>
      <w:r>
        <w:rPr>
          <w:sz w:val="24"/>
          <w:szCs w:val="24"/>
        </w:rPr>
        <w:t xml:space="preserve">Most policies allow for guests to stay without any additional premium. However, some hosts have found that when they mention that some of their guests are ‘asylum seekers’ or ‘strangers’ their insurers have increased their premiums. Some insurers are more risk </w:t>
      </w:r>
      <w:r>
        <w:rPr>
          <w:sz w:val="24"/>
          <w:szCs w:val="24"/>
        </w:rPr>
        <w:lastRenderedPageBreak/>
        <w:t>averse than others, and those who charge additional premiums evidently consider asylum seekers to be riskier than other non-asylum seeking guests who may stay in your home.</w:t>
      </w:r>
    </w:p>
    <w:p w:rsidR="00F64D1C" w:rsidRDefault="00F64D1C" w:rsidP="00B80A6F">
      <w:pPr>
        <w:pStyle w:val="ListParagraph"/>
        <w:numPr>
          <w:ilvl w:val="0"/>
          <w:numId w:val="6"/>
        </w:numPr>
        <w:rPr>
          <w:sz w:val="24"/>
          <w:szCs w:val="24"/>
        </w:rPr>
      </w:pPr>
      <w:r>
        <w:rPr>
          <w:sz w:val="24"/>
          <w:szCs w:val="24"/>
        </w:rPr>
        <w:t>Insurance com</w:t>
      </w:r>
      <w:r w:rsidRPr="00AD4C36">
        <w:rPr>
          <w:sz w:val="24"/>
          <w:szCs w:val="24"/>
        </w:rPr>
        <w:t>p</w:t>
      </w:r>
      <w:r>
        <w:rPr>
          <w:sz w:val="24"/>
          <w:szCs w:val="24"/>
        </w:rPr>
        <w:t>anies that have been sympathetic to hosting/non-family members staying are:</w:t>
      </w:r>
    </w:p>
    <w:p w:rsidR="00F64D1C" w:rsidRDefault="00B80A6F" w:rsidP="00F64D1C">
      <w:pPr>
        <w:pStyle w:val="ListParagraph"/>
        <w:numPr>
          <w:ilvl w:val="1"/>
          <w:numId w:val="6"/>
        </w:numPr>
        <w:rPr>
          <w:sz w:val="24"/>
          <w:szCs w:val="24"/>
        </w:rPr>
      </w:pPr>
      <w:r w:rsidRPr="00F64D1C">
        <w:rPr>
          <w:sz w:val="24"/>
          <w:szCs w:val="24"/>
        </w:rPr>
        <w:t xml:space="preserve">Cooperative insurance, who will simply charge a little extra for an unpaid lodger </w:t>
      </w:r>
    </w:p>
    <w:p w:rsidR="00F64D1C" w:rsidRDefault="00B80A6F" w:rsidP="00F64D1C">
      <w:pPr>
        <w:pStyle w:val="ListParagraph"/>
        <w:numPr>
          <w:ilvl w:val="1"/>
          <w:numId w:val="6"/>
        </w:numPr>
        <w:rPr>
          <w:sz w:val="24"/>
          <w:szCs w:val="24"/>
        </w:rPr>
      </w:pPr>
      <w:r w:rsidRPr="00F64D1C">
        <w:rPr>
          <w:sz w:val="24"/>
          <w:szCs w:val="24"/>
        </w:rPr>
        <w:t xml:space="preserve">Zurich </w:t>
      </w:r>
    </w:p>
    <w:p w:rsidR="00F64D1C" w:rsidRDefault="00B80A6F" w:rsidP="00F64D1C">
      <w:pPr>
        <w:pStyle w:val="ListParagraph"/>
        <w:numPr>
          <w:ilvl w:val="1"/>
          <w:numId w:val="6"/>
        </w:numPr>
        <w:rPr>
          <w:sz w:val="24"/>
          <w:szCs w:val="24"/>
        </w:rPr>
      </w:pPr>
      <w:r w:rsidRPr="00F64D1C">
        <w:rPr>
          <w:sz w:val="24"/>
          <w:szCs w:val="24"/>
        </w:rPr>
        <w:t>Ecclesiastical</w:t>
      </w:r>
    </w:p>
    <w:p w:rsidR="00F64D1C" w:rsidRDefault="00B80A6F" w:rsidP="00F64D1C">
      <w:pPr>
        <w:pStyle w:val="ListParagraph"/>
        <w:numPr>
          <w:ilvl w:val="1"/>
          <w:numId w:val="6"/>
        </w:numPr>
        <w:rPr>
          <w:sz w:val="24"/>
          <w:szCs w:val="24"/>
        </w:rPr>
      </w:pPr>
      <w:r w:rsidRPr="00F64D1C">
        <w:rPr>
          <w:sz w:val="24"/>
          <w:szCs w:val="24"/>
        </w:rPr>
        <w:t>Liverpool Victoria</w:t>
      </w:r>
    </w:p>
    <w:p w:rsidR="00B80A6F" w:rsidRPr="00F64D1C" w:rsidRDefault="00B80A6F" w:rsidP="00F64D1C">
      <w:pPr>
        <w:pStyle w:val="ListParagraph"/>
        <w:numPr>
          <w:ilvl w:val="1"/>
          <w:numId w:val="6"/>
        </w:numPr>
        <w:rPr>
          <w:sz w:val="24"/>
          <w:szCs w:val="24"/>
        </w:rPr>
      </w:pPr>
      <w:r w:rsidRPr="00F64D1C">
        <w:rPr>
          <w:sz w:val="24"/>
          <w:szCs w:val="24"/>
        </w:rPr>
        <w:t>Saga</w:t>
      </w:r>
    </w:p>
    <w:p w:rsidR="00B80A6F" w:rsidRPr="00385070" w:rsidRDefault="00B80A6F" w:rsidP="00A02B29">
      <w:pPr>
        <w:rPr>
          <w:sz w:val="24"/>
          <w:szCs w:val="24"/>
        </w:rPr>
      </w:pPr>
    </w:p>
    <w:p w:rsidR="00A02B29" w:rsidRPr="00385070" w:rsidRDefault="00A02B29" w:rsidP="00A02B29">
      <w:pPr>
        <w:rPr>
          <w:sz w:val="24"/>
          <w:szCs w:val="24"/>
        </w:rPr>
      </w:pPr>
    </w:p>
    <w:p w:rsidR="00A02B29" w:rsidRPr="00385070" w:rsidRDefault="00A02B29" w:rsidP="00A02B29">
      <w:pPr>
        <w:rPr>
          <w:sz w:val="24"/>
          <w:szCs w:val="24"/>
        </w:rPr>
      </w:pPr>
    </w:p>
    <w:p w:rsidR="0092641F" w:rsidRPr="00385070" w:rsidRDefault="0092641F" w:rsidP="0092641F">
      <w:pPr>
        <w:rPr>
          <w:sz w:val="24"/>
          <w:szCs w:val="24"/>
        </w:rPr>
      </w:pPr>
      <w:r w:rsidRPr="00385070">
        <w:rPr>
          <w:rFonts w:ascii="Calibri" w:hAnsi="Calibri"/>
          <w:color w:val="1F497D"/>
          <w:sz w:val="24"/>
          <w:szCs w:val="24"/>
        </w:rPr>
        <w:t> </w:t>
      </w:r>
    </w:p>
    <w:p w:rsidR="0092641F" w:rsidRDefault="0092641F" w:rsidP="0092641F">
      <w:r>
        <w:rPr>
          <w:rFonts w:ascii="Calibri" w:hAnsi="Calibri"/>
          <w:color w:val="1F497D"/>
        </w:rPr>
        <w:t> </w:t>
      </w:r>
    </w:p>
    <w:p w:rsidR="0092641F" w:rsidRDefault="0092641F" w:rsidP="0092641F">
      <w:r>
        <w:t> </w:t>
      </w:r>
    </w:p>
    <w:p w:rsidR="0092641F" w:rsidRDefault="0092641F"/>
    <w:sectPr w:rsidR="00926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10D"/>
    <w:multiLevelType w:val="hybridMultilevel"/>
    <w:tmpl w:val="830AA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A3A22"/>
    <w:multiLevelType w:val="hybridMultilevel"/>
    <w:tmpl w:val="EA3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6A4B63"/>
    <w:multiLevelType w:val="hybridMultilevel"/>
    <w:tmpl w:val="EE54C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7A7E25"/>
    <w:multiLevelType w:val="hybridMultilevel"/>
    <w:tmpl w:val="6E3A42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3A3E0E"/>
    <w:multiLevelType w:val="hybridMultilevel"/>
    <w:tmpl w:val="D880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13"/>
    <w:rsid w:val="00385070"/>
    <w:rsid w:val="003F4AEC"/>
    <w:rsid w:val="004A4216"/>
    <w:rsid w:val="004B7A44"/>
    <w:rsid w:val="00532189"/>
    <w:rsid w:val="005351B3"/>
    <w:rsid w:val="0092641F"/>
    <w:rsid w:val="00A02B29"/>
    <w:rsid w:val="00A76B13"/>
    <w:rsid w:val="00AD4C36"/>
    <w:rsid w:val="00B11955"/>
    <w:rsid w:val="00B20ED4"/>
    <w:rsid w:val="00B80A6F"/>
    <w:rsid w:val="00D33FBD"/>
    <w:rsid w:val="00D755CE"/>
    <w:rsid w:val="00F6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10F7-011C-4022-A2EB-AAB11B64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13"/>
    <w:pPr>
      <w:ind w:left="720"/>
      <w:contextualSpacing/>
    </w:pPr>
  </w:style>
  <w:style w:type="character" w:styleId="Hyperlink">
    <w:name w:val="Hyperlink"/>
    <w:basedOn w:val="DefaultParagraphFont"/>
    <w:uiPriority w:val="99"/>
    <w:unhideWhenUsed/>
    <w:rsid w:val="0092641F"/>
    <w:rPr>
      <w:color w:val="0000FF"/>
      <w:u w:val="single"/>
    </w:rPr>
  </w:style>
  <w:style w:type="character" w:styleId="Emphasis">
    <w:name w:val="Emphasis"/>
    <w:basedOn w:val="DefaultParagraphFont"/>
    <w:uiPriority w:val="20"/>
    <w:qFormat/>
    <w:rsid w:val="00926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6993">
      <w:bodyDiv w:val="1"/>
      <w:marLeft w:val="0"/>
      <w:marRight w:val="0"/>
      <w:marTop w:val="0"/>
      <w:marBottom w:val="0"/>
      <w:divBdr>
        <w:top w:val="none" w:sz="0" w:space="0" w:color="auto"/>
        <w:left w:val="none" w:sz="0" w:space="0" w:color="auto"/>
        <w:bottom w:val="none" w:sz="0" w:space="0" w:color="auto"/>
        <w:right w:val="none" w:sz="0" w:space="0" w:color="auto"/>
      </w:divBdr>
    </w:div>
    <w:div w:id="1104036751">
      <w:bodyDiv w:val="1"/>
      <w:marLeft w:val="0"/>
      <w:marRight w:val="0"/>
      <w:marTop w:val="0"/>
      <w:marBottom w:val="0"/>
      <w:divBdr>
        <w:top w:val="none" w:sz="0" w:space="0" w:color="auto"/>
        <w:left w:val="none" w:sz="0" w:space="0" w:color="auto"/>
        <w:bottom w:val="none" w:sz="0" w:space="0" w:color="auto"/>
        <w:right w:val="none" w:sz="0" w:space="0" w:color="auto"/>
      </w:divBdr>
    </w:div>
    <w:div w:id="1288854456">
      <w:bodyDiv w:val="1"/>
      <w:marLeft w:val="0"/>
      <w:marRight w:val="0"/>
      <w:marTop w:val="0"/>
      <w:marBottom w:val="0"/>
      <w:divBdr>
        <w:top w:val="none" w:sz="0" w:space="0" w:color="auto"/>
        <w:left w:val="none" w:sz="0" w:space="0" w:color="auto"/>
        <w:bottom w:val="none" w:sz="0" w:space="0" w:color="auto"/>
        <w:right w:val="none" w:sz="0" w:space="0" w:color="auto"/>
      </w:divBdr>
    </w:div>
    <w:div w:id="1532186859">
      <w:bodyDiv w:val="1"/>
      <w:marLeft w:val="0"/>
      <w:marRight w:val="0"/>
      <w:marTop w:val="0"/>
      <w:marBottom w:val="0"/>
      <w:divBdr>
        <w:top w:val="none" w:sz="0" w:space="0" w:color="auto"/>
        <w:left w:val="none" w:sz="0" w:space="0" w:color="auto"/>
        <w:bottom w:val="none" w:sz="0" w:space="0" w:color="auto"/>
        <w:right w:val="none" w:sz="0" w:space="0" w:color="auto"/>
      </w:divBdr>
    </w:div>
    <w:div w:id="1960529147">
      <w:bodyDiv w:val="1"/>
      <w:marLeft w:val="0"/>
      <w:marRight w:val="0"/>
      <w:marTop w:val="0"/>
      <w:marBottom w:val="0"/>
      <w:divBdr>
        <w:top w:val="none" w:sz="0" w:space="0" w:color="auto"/>
        <w:left w:val="none" w:sz="0" w:space="0" w:color="auto"/>
        <w:bottom w:val="none" w:sz="0" w:space="0" w:color="auto"/>
        <w:right w:val="none" w:sz="0" w:space="0" w:color="auto"/>
      </w:divBdr>
    </w:div>
    <w:div w:id="1992710484">
      <w:bodyDiv w:val="1"/>
      <w:marLeft w:val="0"/>
      <w:marRight w:val="0"/>
      <w:marTop w:val="0"/>
      <w:marBottom w:val="0"/>
      <w:divBdr>
        <w:top w:val="none" w:sz="0" w:space="0" w:color="auto"/>
        <w:left w:val="none" w:sz="0" w:space="0" w:color="auto"/>
        <w:bottom w:val="none" w:sz="0" w:space="0" w:color="auto"/>
        <w:right w:val="none" w:sz="0" w:space="0" w:color="auto"/>
      </w:divBdr>
    </w:div>
    <w:div w:id="20688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qmen.ltd.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wlinsinsurance.co.uk" TargetMode="External"/><Relationship Id="rId5" Type="http://schemas.openxmlformats.org/officeDocument/2006/relationships/hyperlink" Target="mailto:andy.guy@wbwilso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JS</cp:lastModifiedBy>
  <cp:revision>2</cp:revision>
  <dcterms:created xsi:type="dcterms:W3CDTF">2016-08-10T11:48:00Z</dcterms:created>
  <dcterms:modified xsi:type="dcterms:W3CDTF">2016-08-10T11:48:00Z</dcterms:modified>
</cp:coreProperties>
</file>